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BA" w:rsidRPr="00BA49C4" w:rsidRDefault="00BA49C4" w:rsidP="00BA49C4">
      <w:pPr>
        <w:jc w:val="center"/>
        <w:rPr>
          <w:rFonts w:ascii="Times New Roman" w:hAnsi="Times New Roman" w:cs="Times New Roman"/>
          <w:b/>
          <w:sz w:val="24"/>
          <w:szCs w:val="24"/>
        </w:rPr>
      </w:pPr>
      <w:r w:rsidRPr="00BA49C4">
        <w:rPr>
          <w:rFonts w:ascii="Times New Roman" w:hAnsi="Times New Roman" w:cs="Times New Roman"/>
          <w:b/>
          <w:sz w:val="24"/>
          <w:szCs w:val="24"/>
        </w:rPr>
        <w:t>Pharmacology Education Consultants</w:t>
      </w:r>
    </w:p>
    <w:p w:rsidR="00BA49C4" w:rsidRDefault="00BA49C4" w:rsidP="00BA49C4">
      <w:pPr>
        <w:jc w:val="center"/>
        <w:rPr>
          <w:rFonts w:ascii="Times New Roman" w:hAnsi="Times New Roman" w:cs="Times New Roman"/>
          <w:b/>
          <w:sz w:val="24"/>
          <w:szCs w:val="24"/>
        </w:rPr>
      </w:pPr>
      <w:r w:rsidRPr="00BA49C4">
        <w:rPr>
          <w:rFonts w:ascii="Times New Roman" w:hAnsi="Times New Roman" w:cs="Times New Roman"/>
          <w:b/>
          <w:sz w:val="24"/>
          <w:szCs w:val="24"/>
        </w:rPr>
        <w:t xml:space="preserve">Consultant </w:t>
      </w:r>
      <w:proofErr w:type="spellStart"/>
      <w:r w:rsidRPr="00BA49C4">
        <w:rPr>
          <w:rFonts w:ascii="Times New Roman" w:hAnsi="Times New Roman" w:cs="Times New Roman"/>
          <w:b/>
          <w:sz w:val="24"/>
          <w:szCs w:val="24"/>
        </w:rPr>
        <w:t>Biosketch</w:t>
      </w:r>
      <w:proofErr w:type="spellEnd"/>
    </w:p>
    <w:p w:rsidR="00BA49C4" w:rsidRDefault="00BA49C4" w:rsidP="00BA49C4">
      <w:pPr>
        <w:jc w:val="center"/>
        <w:rPr>
          <w:rFonts w:ascii="Times New Roman" w:hAnsi="Times New Roman" w:cs="Times New Roman"/>
          <w:b/>
          <w:sz w:val="24"/>
          <w:szCs w:val="24"/>
        </w:rPr>
      </w:pPr>
    </w:p>
    <w:p w:rsidR="00654315" w:rsidRDefault="00BA49C4" w:rsidP="00654315">
      <w:pPr>
        <w:tabs>
          <w:tab w:val="left" w:pos="3420"/>
        </w:tabs>
        <w:spacing w:line="240" w:lineRule="exact"/>
      </w:pPr>
      <w:r>
        <w:rPr>
          <w:rFonts w:ascii="Times New Roman" w:hAnsi="Times New Roman" w:cs="Times New Roman"/>
          <w:b/>
          <w:sz w:val="24"/>
          <w:szCs w:val="24"/>
        </w:rPr>
        <w:t>Consult</w:t>
      </w:r>
      <w:r w:rsidR="00654315">
        <w:rPr>
          <w:rFonts w:ascii="Times New Roman" w:hAnsi="Times New Roman" w:cs="Times New Roman"/>
          <w:b/>
          <w:sz w:val="24"/>
          <w:szCs w:val="24"/>
        </w:rPr>
        <w:t xml:space="preserve">ant:    </w:t>
      </w:r>
      <w:r w:rsidR="003D4D90">
        <w:rPr>
          <w:rFonts w:ascii="Times New Roman" w:hAnsi="Times New Roman" w:cs="Times New Roman"/>
          <w:b/>
          <w:sz w:val="24"/>
          <w:szCs w:val="24"/>
        </w:rPr>
        <w:t>Robert J. Theobald, Jr., Ph.D.</w:t>
      </w:r>
    </w:p>
    <w:p w:rsidR="003D4D90" w:rsidRDefault="00CB2AFF"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rFonts w:ascii="Times New Roman" w:hAnsi="Times New Roman" w:cs="Times New Roman"/>
          <w:b/>
          <w:sz w:val="24"/>
          <w:szCs w:val="24"/>
        </w:rPr>
        <w:t>Education</w:t>
      </w:r>
      <w:r w:rsidR="00BA49C4">
        <w:rPr>
          <w:rFonts w:ascii="Times New Roman" w:hAnsi="Times New Roman" w:cs="Times New Roman"/>
          <w:b/>
          <w:sz w:val="24"/>
          <w:szCs w:val="24"/>
        </w:rPr>
        <w:t>:</w:t>
      </w:r>
      <w:r w:rsidR="00654315">
        <w:rPr>
          <w:rFonts w:ascii="Times New Roman" w:hAnsi="Times New Roman" w:cs="Times New Roman"/>
          <w:b/>
          <w:sz w:val="24"/>
          <w:szCs w:val="24"/>
        </w:rPr>
        <w:t xml:space="preserve">  </w:t>
      </w:r>
      <w:r w:rsidR="003D4D90">
        <w:rPr>
          <w:sz w:val="24"/>
          <w:szCs w:val="24"/>
        </w:rPr>
        <w:t>B.S.</w:t>
      </w:r>
      <w:r w:rsidR="003D4D90">
        <w:rPr>
          <w:sz w:val="24"/>
          <w:szCs w:val="24"/>
        </w:rPr>
        <w:tab/>
        <w:t>1967</w:t>
      </w:r>
      <w:r w:rsidR="003D4D90">
        <w:rPr>
          <w:sz w:val="24"/>
          <w:szCs w:val="24"/>
        </w:rPr>
        <w:tab/>
      </w:r>
      <w:r w:rsidR="003D4D90">
        <w:rPr>
          <w:sz w:val="24"/>
          <w:szCs w:val="24"/>
        </w:rPr>
        <w:tab/>
        <w:t>Wheeling Jesuit University</w:t>
      </w:r>
      <w:r w:rsidR="003D4D90">
        <w:rPr>
          <w:sz w:val="24"/>
          <w:szCs w:val="24"/>
        </w:rPr>
        <w:tab/>
        <w:t>Biology</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r>
      <w:r>
        <w:rPr>
          <w:sz w:val="24"/>
          <w:szCs w:val="24"/>
        </w:rPr>
        <w:tab/>
      </w:r>
      <w:r>
        <w:rPr>
          <w:sz w:val="24"/>
          <w:szCs w:val="24"/>
        </w:rPr>
        <w:tab/>
      </w:r>
      <w:r>
        <w:rPr>
          <w:sz w:val="24"/>
          <w:szCs w:val="24"/>
        </w:rPr>
        <w:tab/>
        <w:t>Wheeling, W. Virginia</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 xml:space="preserve">                Ph.D.</w:t>
      </w:r>
      <w:r>
        <w:rPr>
          <w:sz w:val="24"/>
          <w:szCs w:val="24"/>
        </w:rPr>
        <w:tab/>
        <w:t>1975</w:t>
      </w:r>
      <w:r>
        <w:rPr>
          <w:sz w:val="24"/>
          <w:szCs w:val="24"/>
        </w:rPr>
        <w:tab/>
      </w:r>
      <w:r>
        <w:rPr>
          <w:sz w:val="24"/>
          <w:szCs w:val="24"/>
        </w:rPr>
        <w:tab/>
        <w:t>University of Pittsburgh</w:t>
      </w:r>
      <w:r>
        <w:rPr>
          <w:sz w:val="24"/>
          <w:szCs w:val="24"/>
        </w:rPr>
        <w:tab/>
        <w:t>Pharmacology</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r>
      <w:r>
        <w:rPr>
          <w:sz w:val="24"/>
          <w:szCs w:val="24"/>
        </w:rPr>
        <w:tab/>
      </w:r>
      <w:r>
        <w:rPr>
          <w:sz w:val="24"/>
          <w:szCs w:val="24"/>
        </w:rPr>
        <w:tab/>
      </w:r>
      <w:r>
        <w:rPr>
          <w:sz w:val="24"/>
          <w:szCs w:val="24"/>
        </w:rPr>
        <w:tab/>
        <w:t>School of Pharmacy</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 xml:space="preserve">               Postdoc </w:t>
      </w:r>
      <w:r>
        <w:rPr>
          <w:sz w:val="24"/>
          <w:szCs w:val="24"/>
        </w:rPr>
        <w:tab/>
        <w:t>1975-76</w:t>
      </w:r>
      <w:r>
        <w:rPr>
          <w:sz w:val="24"/>
          <w:szCs w:val="24"/>
        </w:rPr>
        <w:tab/>
        <w:t>University of Pittsburgh</w:t>
      </w:r>
      <w:r>
        <w:rPr>
          <w:sz w:val="24"/>
          <w:szCs w:val="24"/>
        </w:rPr>
        <w:tab/>
        <w:t>Pharmacology</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 xml:space="preserve">               </w:t>
      </w:r>
      <w:r>
        <w:rPr>
          <w:sz w:val="24"/>
          <w:szCs w:val="24"/>
        </w:rPr>
        <w:tab/>
      </w:r>
      <w:r>
        <w:rPr>
          <w:sz w:val="24"/>
          <w:szCs w:val="24"/>
        </w:rPr>
        <w:tab/>
      </w:r>
      <w:r>
        <w:rPr>
          <w:sz w:val="24"/>
          <w:szCs w:val="24"/>
        </w:rPr>
        <w:tab/>
        <w:t>School of Medicine</w:t>
      </w:r>
    </w:p>
    <w:p w:rsidR="003D4D90" w:rsidRDefault="003D4D90" w:rsidP="00BB691A">
      <w:pPr>
        <w:tabs>
          <w:tab w:val="left" w:pos="720"/>
          <w:tab w:val="left" w:pos="2160"/>
        </w:tabs>
        <w:spacing w:line="240" w:lineRule="exact"/>
        <w:rPr>
          <w:rFonts w:ascii="Times New Roman" w:hAnsi="Times New Roman" w:cs="Times New Roman"/>
          <w:b/>
          <w:sz w:val="24"/>
          <w:szCs w:val="24"/>
        </w:rPr>
      </w:pPr>
    </w:p>
    <w:p w:rsidR="00BB691A" w:rsidRDefault="00CB2AFF" w:rsidP="00BB691A">
      <w:pPr>
        <w:tabs>
          <w:tab w:val="left" w:pos="720"/>
          <w:tab w:val="left" w:pos="2160"/>
        </w:tabs>
        <w:spacing w:line="240" w:lineRule="exact"/>
        <w:rPr>
          <w:rFonts w:ascii="Times New Roman" w:hAnsi="Times New Roman" w:cs="Times New Roman"/>
          <w:b/>
          <w:sz w:val="24"/>
          <w:szCs w:val="24"/>
        </w:rPr>
      </w:pPr>
      <w:r>
        <w:rPr>
          <w:rFonts w:ascii="Times New Roman" w:hAnsi="Times New Roman" w:cs="Times New Roman"/>
          <w:b/>
          <w:sz w:val="24"/>
          <w:szCs w:val="24"/>
        </w:rPr>
        <w:t>University Experience:</w:t>
      </w:r>
      <w:r>
        <w:rPr>
          <w:rFonts w:ascii="Times New Roman" w:hAnsi="Times New Roman" w:cs="Times New Roman"/>
          <w:b/>
          <w:sz w:val="24"/>
          <w:szCs w:val="24"/>
        </w:rPr>
        <w:tab/>
      </w:r>
      <w:r w:rsidR="003D4D90" w:rsidRPr="003D4D90">
        <w:rPr>
          <w:rFonts w:ascii="Times New Roman" w:hAnsi="Times New Roman" w:cs="Times New Roman"/>
          <w:sz w:val="24"/>
          <w:szCs w:val="24"/>
        </w:rPr>
        <w:t>A.T. Still University of Health Sciences</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Assistant Professor</w:t>
      </w:r>
      <w:r>
        <w:rPr>
          <w:sz w:val="24"/>
          <w:szCs w:val="24"/>
        </w:rPr>
        <w:tab/>
      </w:r>
      <w:r>
        <w:rPr>
          <w:sz w:val="24"/>
          <w:szCs w:val="24"/>
        </w:rPr>
        <w:tab/>
        <w:t>Department of Pharmacology</w:t>
      </w:r>
      <w:r>
        <w:rPr>
          <w:sz w:val="24"/>
          <w:szCs w:val="24"/>
        </w:rPr>
        <w:tab/>
      </w:r>
      <w:r>
        <w:rPr>
          <w:sz w:val="24"/>
          <w:szCs w:val="24"/>
        </w:rPr>
        <w:tab/>
        <w:t>Nov. 1976-</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r>
      <w:r>
        <w:rPr>
          <w:sz w:val="24"/>
          <w:szCs w:val="24"/>
        </w:rPr>
        <w:tab/>
      </w:r>
      <w:r>
        <w:rPr>
          <w:sz w:val="24"/>
          <w:szCs w:val="24"/>
        </w:rPr>
        <w:tab/>
        <w:t>Kirksville College of Osteopathic Med (KCOM)</w:t>
      </w:r>
      <w:r>
        <w:rPr>
          <w:sz w:val="24"/>
          <w:szCs w:val="24"/>
        </w:rPr>
        <w:tab/>
        <w:t>June l985</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Associate Professor</w:t>
      </w:r>
      <w:r>
        <w:rPr>
          <w:sz w:val="24"/>
          <w:szCs w:val="24"/>
        </w:rPr>
        <w:tab/>
      </w:r>
      <w:r>
        <w:rPr>
          <w:sz w:val="24"/>
          <w:szCs w:val="24"/>
        </w:rPr>
        <w:tab/>
        <w:t>Department of Pharmacology</w:t>
      </w:r>
      <w:r>
        <w:rPr>
          <w:sz w:val="24"/>
          <w:szCs w:val="24"/>
        </w:rPr>
        <w:tab/>
      </w:r>
      <w:r>
        <w:rPr>
          <w:sz w:val="24"/>
          <w:szCs w:val="24"/>
        </w:rPr>
        <w:tab/>
        <w:t>July l985-</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Tenure Awarded</w:t>
      </w:r>
      <w:r>
        <w:rPr>
          <w:sz w:val="24"/>
          <w:szCs w:val="24"/>
        </w:rPr>
        <w:tab/>
      </w:r>
      <w:r>
        <w:rPr>
          <w:sz w:val="24"/>
          <w:szCs w:val="24"/>
        </w:rPr>
        <w:tab/>
        <w:t>KCOM</w:t>
      </w:r>
      <w:r>
        <w:rPr>
          <w:sz w:val="24"/>
          <w:szCs w:val="24"/>
        </w:rPr>
        <w:tab/>
      </w:r>
      <w:r>
        <w:rPr>
          <w:sz w:val="24"/>
          <w:szCs w:val="24"/>
        </w:rPr>
        <w:tab/>
      </w:r>
      <w:r>
        <w:rPr>
          <w:sz w:val="24"/>
          <w:szCs w:val="24"/>
        </w:rPr>
        <w:tab/>
      </w:r>
      <w:r>
        <w:rPr>
          <w:sz w:val="24"/>
          <w:szCs w:val="24"/>
        </w:rPr>
        <w:tab/>
      </w:r>
      <w:r>
        <w:rPr>
          <w:sz w:val="24"/>
          <w:szCs w:val="24"/>
        </w:rPr>
        <w:tab/>
        <w:t>July, 1987</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 xml:space="preserve">Associate Professor </w:t>
      </w:r>
      <w:r>
        <w:rPr>
          <w:sz w:val="24"/>
          <w:szCs w:val="24"/>
        </w:rPr>
        <w:tab/>
      </w:r>
      <w:r>
        <w:rPr>
          <w:sz w:val="24"/>
          <w:szCs w:val="24"/>
        </w:rPr>
        <w:tab/>
        <w:t>Department of Pharmacology</w:t>
      </w:r>
      <w:r>
        <w:rPr>
          <w:sz w:val="24"/>
          <w:szCs w:val="24"/>
        </w:rPr>
        <w:tab/>
      </w:r>
      <w:r>
        <w:rPr>
          <w:sz w:val="24"/>
          <w:szCs w:val="24"/>
        </w:rPr>
        <w:tab/>
        <w:t>April, 1989-</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 xml:space="preserve"> &amp; Chairman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July, 1991</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Professor &amp; Chairman</w:t>
      </w:r>
      <w:r>
        <w:rPr>
          <w:sz w:val="24"/>
          <w:szCs w:val="24"/>
        </w:rPr>
        <w:tab/>
      </w:r>
      <w:r>
        <w:rPr>
          <w:sz w:val="24"/>
          <w:szCs w:val="24"/>
        </w:rPr>
        <w:tab/>
        <w:t>Department of Pharmacology</w:t>
      </w:r>
      <w:r>
        <w:rPr>
          <w:sz w:val="24"/>
          <w:szCs w:val="24"/>
        </w:rPr>
        <w:tab/>
      </w:r>
      <w:r>
        <w:rPr>
          <w:sz w:val="24"/>
          <w:szCs w:val="24"/>
        </w:rPr>
        <w:tab/>
        <w:t>July, 1991-</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Professor</w:t>
      </w:r>
      <w:r>
        <w:rPr>
          <w:sz w:val="24"/>
          <w:szCs w:val="24"/>
        </w:rPr>
        <w:tab/>
      </w:r>
      <w:r>
        <w:rPr>
          <w:sz w:val="24"/>
          <w:szCs w:val="24"/>
        </w:rPr>
        <w:tab/>
        <w:t>Department of Pharmacology</w:t>
      </w:r>
      <w:r>
        <w:rPr>
          <w:sz w:val="24"/>
          <w:szCs w:val="24"/>
        </w:rPr>
        <w:tab/>
      </w:r>
      <w:r>
        <w:rPr>
          <w:sz w:val="24"/>
          <w:szCs w:val="24"/>
        </w:rPr>
        <w:tab/>
        <w:t>July, 2015 -</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Present</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D753C" w:rsidRDefault="00AD753C" w:rsidP="00BA49C4">
      <w:pPr>
        <w:rPr>
          <w:rFonts w:ascii="Times New Roman" w:hAnsi="Times New Roman" w:cs="Times New Roman"/>
          <w:b/>
          <w:sz w:val="24"/>
          <w:szCs w:val="24"/>
        </w:rPr>
      </w:pPr>
      <w:r>
        <w:rPr>
          <w:rFonts w:ascii="Times New Roman" w:hAnsi="Times New Roman" w:cs="Times New Roman"/>
          <w:b/>
          <w:sz w:val="24"/>
          <w:szCs w:val="24"/>
        </w:rPr>
        <w:t>Education Philosophy:</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 xml:space="preserve">I believe in providing students with opportunities to learn content in </w:t>
      </w:r>
      <w:r w:rsidR="001136A5">
        <w:rPr>
          <w:sz w:val="24"/>
          <w:szCs w:val="24"/>
        </w:rPr>
        <w:t>multiple</w:t>
      </w:r>
      <w:r>
        <w:rPr>
          <w:sz w:val="24"/>
          <w:szCs w:val="24"/>
        </w:rPr>
        <w:t xml:space="preserve"> formats. The rationale for this lies in the fact that students, as individuals, hav</w:t>
      </w:r>
      <w:r w:rsidR="001136A5">
        <w:rPr>
          <w:sz w:val="24"/>
          <w:szCs w:val="24"/>
        </w:rPr>
        <w:t>e</w:t>
      </w:r>
      <w:r>
        <w:rPr>
          <w:sz w:val="24"/>
          <w:szCs w:val="24"/>
        </w:rPr>
        <w:t xml:space="preserve"> unique learning styles and what is</w:t>
      </w:r>
      <w:r w:rsidR="001136A5">
        <w:rPr>
          <w:sz w:val="24"/>
          <w:szCs w:val="24"/>
        </w:rPr>
        <w:t xml:space="preserve"> the</w:t>
      </w:r>
      <w:r>
        <w:rPr>
          <w:sz w:val="24"/>
          <w:szCs w:val="24"/>
        </w:rPr>
        <w:t xml:space="preserve"> best</w:t>
      </w:r>
      <w:r w:rsidR="001136A5">
        <w:rPr>
          <w:sz w:val="24"/>
          <w:szCs w:val="24"/>
        </w:rPr>
        <w:t xml:space="preserve"> format</w:t>
      </w:r>
      <w:bookmarkStart w:id="0" w:name="_GoBack"/>
      <w:bookmarkEnd w:id="0"/>
      <w:r>
        <w:rPr>
          <w:sz w:val="24"/>
          <w:szCs w:val="24"/>
        </w:rPr>
        <w:t xml:space="preserve"> for one student may not be best for other students. Therefore, providing several styles will allow each student the opportunity to choose what works best for them. Additionally, I believe that students are responsible for acquisition of their own knowledge base.  Faculty are responsible for providing opportunities that guide students in that acquisition, providing accurate information in a timely fashion, and being available to help </w:t>
      </w:r>
      <w:r>
        <w:rPr>
          <w:sz w:val="24"/>
          <w:szCs w:val="24"/>
        </w:rPr>
        <w:lastRenderedPageBreak/>
        <w:t xml:space="preserve">student understanding. Sometimes lecture format is the best way to convey information to students in groups, but the lecture should be designed to do only several things; provide an overview of content and concepts being presented, explain difficult concepts and content issues, and answer questions.  Faculty cannot iterate everything about all topics. With faculty providing guidance and students taking responsibility for their education, this collaborative effort will succeed.    </w:t>
      </w:r>
    </w:p>
    <w:p w:rsidR="00AD753C" w:rsidRDefault="00AD753C" w:rsidP="00BA49C4">
      <w:pPr>
        <w:rPr>
          <w:rFonts w:ascii="Times New Roman" w:hAnsi="Times New Roman" w:cs="Times New Roman"/>
          <w:b/>
          <w:sz w:val="24"/>
          <w:szCs w:val="24"/>
        </w:rPr>
      </w:pPr>
      <w:r>
        <w:rPr>
          <w:rFonts w:ascii="Times New Roman" w:hAnsi="Times New Roman" w:cs="Times New Roman"/>
          <w:b/>
          <w:sz w:val="24"/>
          <w:szCs w:val="24"/>
        </w:rPr>
        <w:t>Service:</w:t>
      </w:r>
    </w:p>
    <w:p w:rsidR="003D4D90" w:rsidRDefault="003D4D90" w:rsidP="00BA49C4">
      <w:pPr>
        <w:rPr>
          <w:rFonts w:ascii="Times New Roman" w:hAnsi="Times New Roman" w:cs="Times New Roman"/>
          <w:b/>
          <w:sz w:val="24"/>
          <w:szCs w:val="24"/>
        </w:rPr>
      </w:pPr>
      <w:r>
        <w:rPr>
          <w:sz w:val="24"/>
          <w:szCs w:val="24"/>
        </w:rPr>
        <w:t xml:space="preserve">It is my belief that service to the institution is a vital role of members of the institutional community, especially those in leadership roles.  If we assume that those whom we help educate will provide service to the institution, we must be role models.  This modeling includes service in the community since the institution is a community member, relies on community services, and will be judged, at least in part, by involvement in the community.  I am involved in many service activities in the institution, some as assigned, some as volunteer.  I am also involved in the community, local and national, serving my profession, science, academia, and the community in several organizations.  </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sidRPr="00F05CCF">
        <w:rPr>
          <w:b/>
          <w:sz w:val="24"/>
          <w:szCs w:val="24"/>
        </w:rPr>
        <w:t>National Committee</w:t>
      </w:r>
      <w:r>
        <w:rPr>
          <w:b/>
          <w:sz w:val="24"/>
          <w:szCs w:val="24"/>
        </w:rPr>
        <w:t>s</w:t>
      </w:r>
      <w:r w:rsidRPr="00F05CCF">
        <w:rPr>
          <w:b/>
          <w:sz w:val="24"/>
          <w:szCs w:val="24"/>
        </w:rPr>
        <w:t xml:space="preserve"> and Society Memberships</w:t>
      </w:r>
      <w:r>
        <w:rPr>
          <w:sz w:val="24"/>
          <w:szCs w:val="24"/>
        </w:rPr>
        <w:t xml:space="preserve">: </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American Society of Pharmacology and Experimental Therapeutics</w:t>
      </w:r>
    </w:p>
    <w:p w:rsidR="003D4D90" w:rsidRPr="00A83B9C" w:rsidRDefault="003D4D90" w:rsidP="003D4D90">
      <w:pPr>
        <w:pStyle w:val="ListParagraph"/>
        <w:numPr>
          <w:ilvl w:val="0"/>
          <w:numId w:val="1"/>
        </w:num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Member since 1984</w:t>
      </w:r>
    </w:p>
    <w:p w:rsidR="003D4D90" w:rsidRDefault="003D4D90" w:rsidP="003D4D90">
      <w:pPr>
        <w:pStyle w:val="ListParagraph"/>
        <w:numPr>
          <w:ilvl w:val="0"/>
          <w:numId w:val="1"/>
        </w:num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sidRPr="00A83B9C">
        <w:rPr>
          <w:sz w:val="24"/>
          <w:szCs w:val="24"/>
        </w:rPr>
        <w:t>Charter Member of Division</w:t>
      </w:r>
      <w:r>
        <w:rPr>
          <w:sz w:val="24"/>
          <w:szCs w:val="24"/>
        </w:rPr>
        <w:t xml:space="preserve"> of Pharmacology</w:t>
      </w:r>
      <w:r w:rsidRPr="00F05CCF">
        <w:rPr>
          <w:sz w:val="24"/>
          <w:szCs w:val="24"/>
        </w:rPr>
        <w:t xml:space="preserve"> </w:t>
      </w:r>
      <w:r w:rsidRPr="00A83B9C">
        <w:rPr>
          <w:sz w:val="24"/>
          <w:szCs w:val="24"/>
        </w:rPr>
        <w:t>Education</w:t>
      </w:r>
      <w:r>
        <w:rPr>
          <w:sz w:val="24"/>
          <w:szCs w:val="24"/>
        </w:rPr>
        <w:t xml:space="preserve"> (DPE)</w:t>
      </w:r>
    </w:p>
    <w:p w:rsidR="003D4D90" w:rsidRPr="00A83B9C" w:rsidRDefault="003D4D90" w:rsidP="003D4D90">
      <w:pPr>
        <w:pStyle w:val="ListParagraph"/>
        <w:numPr>
          <w:ilvl w:val="0"/>
          <w:numId w:val="1"/>
        </w:num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DPE- Secretary/Treasurer – 2013 to 2016</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   Charter Organizer of the Academy of Pharmacology Educators</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Assoc. Medical School Pharmacology Chairs – Member (1989 – Present)</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 xml:space="preserve">AMSPC – Councilor – 2003-2004; Secretary – 2004-2006; Treasurer – 2006-2010; </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 xml:space="preserve">                 Exec. </w:t>
      </w:r>
      <w:proofErr w:type="spellStart"/>
      <w:r>
        <w:rPr>
          <w:sz w:val="24"/>
          <w:szCs w:val="24"/>
        </w:rPr>
        <w:t>Cmt</w:t>
      </w:r>
      <w:proofErr w:type="spellEnd"/>
      <w:r>
        <w:rPr>
          <w:sz w:val="24"/>
          <w:szCs w:val="24"/>
        </w:rPr>
        <w:t xml:space="preserve"> Member – 2010-2012</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National Board of Osteopathic Medical Examiners (NBOME)</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National Faculty – 2014-Present</w:t>
      </w:r>
    </w:p>
    <w:p w:rsidR="003D4D90"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ab/>
        <w:t>Discipline Lead (Pharmacology) – Task Force for COMAT CFS Exam Development</w:t>
      </w:r>
    </w:p>
    <w:p w:rsidR="00513738" w:rsidRDefault="003D4D90" w:rsidP="003D4D90">
      <w:pPr>
        <w:tabs>
          <w:tab w:val="left" w:pos="0"/>
          <w:tab w:val="left" w:pos="360"/>
          <w:tab w:val="left" w:pos="2280"/>
          <w:tab w:val="left" w:pos="2880"/>
          <w:tab w:val="left" w:pos="4080"/>
          <w:tab w:val="left" w:pos="4800"/>
          <w:tab w:val="left" w:pos="5640"/>
          <w:tab w:val="left" w:pos="6360"/>
          <w:tab w:val="left" w:pos="7560"/>
          <w:tab w:val="left" w:pos="7920"/>
          <w:tab w:val="left" w:pos="8640"/>
        </w:tabs>
        <w:rPr>
          <w:sz w:val="24"/>
          <w:szCs w:val="24"/>
        </w:rPr>
      </w:pPr>
      <w:r>
        <w:rPr>
          <w:sz w:val="24"/>
          <w:szCs w:val="24"/>
        </w:rPr>
        <w:t xml:space="preserve">Memberships: Amer. Urological Association (1984 – 2012); Soc. Basic Urological Research Charter Member (1987 – 2012); Society </w:t>
      </w:r>
      <w:proofErr w:type="spellStart"/>
      <w:r>
        <w:rPr>
          <w:sz w:val="24"/>
          <w:szCs w:val="24"/>
        </w:rPr>
        <w:t>Urodynamics</w:t>
      </w:r>
      <w:proofErr w:type="spellEnd"/>
      <w:r>
        <w:rPr>
          <w:sz w:val="24"/>
          <w:szCs w:val="24"/>
        </w:rPr>
        <w:t xml:space="preserve"> and Female Urology (1987 – 2012</w:t>
      </w:r>
      <w:proofErr w:type="gramStart"/>
      <w:r>
        <w:rPr>
          <w:sz w:val="24"/>
          <w:szCs w:val="24"/>
        </w:rPr>
        <w:t>) ;</w:t>
      </w:r>
      <w:proofErr w:type="gramEnd"/>
      <w:r>
        <w:rPr>
          <w:sz w:val="24"/>
          <w:szCs w:val="24"/>
        </w:rPr>
        <w:t xml:space="preserve"> National Caucus of Basic Biomedical Science Chairs (2004; 2007; 2008-2010)</w:t>
      </w:r>
      <w:r w:rsidR="00513738">
        <w:rPr>
          <w:sz w:val="24"/>
          <w:szCs w:val="24"/>
        </w:rPr>
        <w:t xml:space="preserve">; </w:t>
      </w:r>
    </w:p>
    <w:p w:rsidR="00AD753C" w:rsidRDefault="003D4D90" w:rsidP="00513738">
      <w:pPr>
        <w:tabs>
          <w:tab w:val="left" w:pos="0"/>
          <w:tab w:val="left" w:pos="360"/>
          <w:tab w:val="left" w:pos="2280"/>
          <w:tab w:val="left" w:pos="2880"/>
          <w:tab w:val="left" w:pos="4080"/>
          <w:tab w:val="left" w:pos="4800"/>
          <w:tab w:val="left" w:pos="5640"/>
          <w:tab w:val="left" w:pos="6360"/>
          <w:tab w:val="left" w:pos="7560"/>
          <w:tab w:val="left" w:pos="7920"/>
          <w:tab w:val="left" w:pos="8640"/>
        </w:tabs>
        <w:rPr>
          <w:rFonts w:ascii="Times New Roman" w:hAnsi="Times New Roman" w:cs="Times New Roman"/>
          <w:b/>
          <w:sz w:val="24"/>
          <w:szCs w:val="24"/>
        </w:rPr>
      </w:pPr>
      <w:r>
        <w:rPr>
          <w:sz w:val="24"/>
          <w:szCs w:val="24"/>
        </w:rPr>
        <w:t>Sigma Xi (1985 – Present)</w:t>
      </w:r>
      <w:r w:rsidR="00513738">
        <w:rPr>
          <w:sz w:val="24"/>
          <w:szCs w:val="24"/>
        </w:rPr>
        <w:t xml:space="preserve">; </w:t>
      </w:r>
      <w:r>
        <w:rPr>
          <w:sz w:val="24"/>
          <w:szCs w:val="24"/>
        </w:rPr>
        <w:t xml:space="preserve">Gerson </w:t>
      </w:r>
      <w:proofErr w:type="spellStart"/>
      <w:r>
        <w:rPr>
          <w:sz w:val="24"/>
          <w:szCs w:val="24"/>
        </w:rPr>
        <w:t>Lehrman</w:t>
      </w:r>
      <w:proofErr w:type="spellEnd"/>
      <w:r>
        <w:rPr>
          <w:sz w:val="24"/>
          <w:szCs w:val="24"/>
        </w:rPr>
        <w:t xml:space="preserve"> Group Council, Consultant (2006 – Present)</w:t>
      </w:r>
    </w:p>
    <w:p w:rsidR="00AD753C" w:rsidRDefault="00AD753C" w:rsidP="00BA49C4">
      <w:pPr>
        <w:rPr>
          <w:rFonts w:ascii="Times New Roman" w:hAnsi="Times New Roman" w:cs="Times New Roman"/>
          <w:b/>
          <w:sz w:val="24"/>
          <w:szCs w:val="24"/>
        </w:rPr>
      </w:pPr>
    </w:p>
    <w:p w:rsidR="00BA49C4" w:rsidRPr="00BA49C4" w:rsidRDefault="00BA49C4" w:rsidP="00BA49C4">
      <w:pPr>
        <w:rPr>
          <w:rFonts w:ascii="Times New Roman" w:hAnsi="Times New Roman" w:cs="Times New Roman"/>
          <w:b/>
          <w:sz w:val="24"/>
          <w:szCs w:val="24"/>
        </w:rPr>
      </w:pPr>
    </w:p>
    <w:sectPr w:rsidR="00BA49C4" w:rsidRPr="00BA4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97473"/>
    <w:multiLevelType w:val="hybridMultilevel"/>
    <w:tmpl w:val="28D869C0"/>
    <w:lvl w:ilvl="0" w:tplc="B04619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C4"/>
    <w:rsid w:val="001136A5"/>
    <w:rsid w:val="003129BA"/>
    <w:rsid w:val="003D4D90"/>
    <w:rsid w:val="00513738"/>
    <w:rsid w:val="00654315"/>
    <w:rsid w:val="00A970E3"/>
    <w:rsid w:val="00AD753C"/>
    <w:rsid w:val="00BA49C4"/>
    <w:rsid w:val="00BB691A"/>
    <w:rsid w:val="00CB2AFF"/>
    <w:rsid w:val="00EA0FDF"/>
    <w:rsid w:val="00FB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2AB6"/>
  <w15:docId w15:val="{303B4D6A-A1C2-466F-A300-28E32782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D90"/>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ATSU</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Theobald</dc:creator>
  <cp:lastModifiedBy>Robert Theobald</cp:lastModifiedBy>
  <cp:revision>2</cp:revision>
  <dcterms:created xsi:type="dcterms:W3CDTF">2016-11-30T02:51:00Z</dcterms:created>
  <dcterms:modified xsi:type="dcterms:W3CDTF">2016-11-30T02:51:00Z</dcterms:modified>
</cp:coreProperties>
</file>